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EB" w:rsidRDefault="00050335" w:rsidP="00050335">
      <w:pPr>
        <w:pBdr>
          <w:bottom w:val="single" w:sz="6" w:space="1" w:color="auto"/>
        </w:pBdr>
        <w:spacing w:line="60" w:lineRule="auto"/>
        <w:rPr>
          <w:rFonts w:ascii="標楷體" w:eastAsia="標楷體" w:hAnsi="標楷體"/>
        </w:rPr>
      </w:pPr>
      <w:r w:rsidRPr="00375BC2">
        <w:rPr>
          <w:rFonts w:ascii="標楷體" w:eastAsia="標楷體" w:hAnsi="標楷體" w:hint="eastAsia"/>
        </w:rPr>
        <w:t>庇護性就業－做法</w:t>
      </w:r>
    </w:p>
    <w:p w:rsidR="00852B10" w:rsidRDefault="00D379EB" w:rsidP="00050335">
      <w:pPr>
        <w:spacing w:line="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BF057E">
        <w:rPr>
          <w:rFonts w:ascii="標楷體" w:eastAsia="標楷體" w:hAnsi="標楷體" w:hint="eastAsia"/>
          <w:color w:val="FF0000"/>
          <w:sz w:val="28"/>
        </w:rPr>
        <w:t xml:space="preserve"> </w:t>
      </w:r>
      <w:r w:rsidR="00BF057E" w:rsidRPr="00BF057E">
        <w:rPr>
          <w:rFonts w:ascii="標楷體" w:eastAsia="標楷體" w:hAnsi="標楷體" w:hint="eastAsia"/>
          <w:color w:val="FF0000"/>
        </w:rPr>
        <w:t>成立緣由</w:t>
      </w:r>
      <w:r w:rsidR="00BF057E" w:rsidRPr="00BF057E">
        <w:rPr>
          <w:rFonts w:ascii="標楷體" w:eastAsia="標楷體" w:hAnsi="標楷體" w:hint="eastAsia"/>
          <w:sz w:val="28"/>
        </w:rPr>
        <w:t>勞動力重建運用處</w:t>
      </w:r>
      <w:r w:rsidR="00050335">
        <w:rPr>
          <w:rFonts w:ascii="標楷體" w:eastAsia="標楷體" w:hAnsi="標楷體" w:hint="eastAsia"/>
          <w:sz w:val="28"/>
        </w:rPr>
        <w:t>為</w:t>
      </w:r>
      <w:r w:rsidR="00375BC2">
        <w:rPr>
          <w:rFonts w:ascii="標楷體" w:eastAsia="標楷體" w:hAnsi="標楷體" w:hint="eastAsia"/>
          <w:sz w:val="28"/>
        </w:rPr>
        <w:t>活化</w:t>
      </w:r>
      <w:r>
        <w:rPr>
          <w:rFonts w:ascii="標楷體" w:eastAsia="標楷體" w:hAnsi="標楷體" w:hint="eastAsia"/>
          <w:sz w:val="28"/>
        </w:rPr>
        <w:t>北市</w:t>
      </w:r>
      <w:r w:rsidR="00375BC2">
        <w:rPr>
          <w:rFonts w:ascii="標楷體" w:eastAsia="標楷體" w:hAnsi="標楷體" w:hint="eastAsia"/>
          <w:sz w:val="28"/>
        </w:rPr>
        <w:t>地熱谷園區閒置建物，於</w:t>
      </w:r>
      <w:r>
        <w:rPr>
          <w:rFonts w:ascii="標楷體" w:eastAsia="標楷體" w:hAnsi="標楷體" w:hint="eastAsia"/>
          <w:sz w:val="28"/>
        </w:rPr>
        <w:t>一零一年</w:t>
      </w:r>
      <w:r w:rsidR="00375BC2">
        <w:rPr>
          <w:rFonts w:ascii="標楷體" w:eastAsia="標楷體" w:hAnsi="標楷體" w:hint="eastAsia"/>
          <w:sz w:val="28"/>
        </w:rPr>
        <w:t>初公開招標地熱谷庇護工場委託經營標案，提供</w:t>
      </w:r>
      <w:r>
        <w:rPr>
          <w:rFonts w:ascii="標楷體" w:eastAsia="標楷體" w:hAnsi="標楷體" w:hint="eastAsia"/>
          <w:sz w:val="28"/>
        </w:rPr>
        <w:t>標案補助</w:t>
      </w:r>
      <w:r w:rsidR="00375BC2">
        <w:rPr>
          <w:rFonts w:ascii="標楷體" w:eastAsia="標楷體" w:hAnsi="標楷體" w:hint="eastAsia"/>
          <w:sz w:val="28"/>
        </w:rPr>
        <w:t>為期三年，每年1,</w:t>
      </w:r>
      <w:r>
        <w:rPr>
          <w:rFonts w:ascii="標楷體" w:eastAsia="標楷體" w:hAnsi="標楷體" w:hint="eastAsia"/>
          <w:sz w:val="28"/>
        </w:rPr>
        <w:t>426</w:t>
      </w:r>
      <w:r w:rsidR="00375BC2">
        <w:rPr>
          <w:rFonts w:ascii="標楷體" w:eastAsia="標楷體" w:hAnsi="標楷體" w:hint="eastAsia"/>
          <w:sz w:val="28"/>
        </w:rPr>
        <w:t>,</w:t>
      </w:r>
      <w:r w:rsidR="00852B10">
        <w:rPr>
          <w:rFonts w:ascii="標楷體" w:eastAsia="標楷體" w:hAnsi="標楷體" w:hint="eastAsia"/>
          <w:sz w:val="28"/>
        </w:rPr>
        <w:t>000</w:t>
      </w:r>
      <w:r w:rsidR="00375BC2">
        <w:rPr>
          <w:rFonts w:ascii="標楷體" w:eastAsia="標楷體" w:hAnsi="標楷體" w:hint="eastAsia"/>
          <w:sz w:val="28"/>
        </w:rPr>
        <w:t>元</w:t>
      </w:r>
      <w:r>
        <w:rPr>
          <w:rFonts w:ascii="標楷體" w:eastAsia="標楷體" w:hAnsi="標楷體" w:hint="eastAsia"/>
          <w:sz w:val="16"/>
        </w:rPr>
        <w:t>見</w:t>
      </w:r>
      <w:r w:rsidRPr="00D379EB">
        <w:rPr>
          <w:rFonts w:ascii="標楷體" w:eastAsia="標楷體" w:hAnsi="標楷體" w:hint="eastAsia"/>
          <w:sz w:val="16"/>
        </w:rPr>
        <w:t>下表</w:t>
      </w:r>
      <w:r>
        <w:rPr>
          <w:rFonts w:ascii="標楷體" w:eastAsia="標楷體" w:hAnsi="標楷體" w:hint="eastAsia"/>
          <w:sz w:val="16"/>
        </w:rPr>
        <w:t>1</w:t>
      </w:r>
      <w:r w:rsidR="00375BC2">
        <w:rPr>
          <w:rFonts w:ascii="標楷體" w:eastAsia="標楷體" w:hAnsi="標楷體" w:hint="eastAsia"/>
          <w:sz w:val="28"/>
        </w:rPr>
        <w:t>，希望國內優良廠商能以</w:t>
      </w:r>
      <w:r w:rsidR="00050335">
        <w:rPr>
          <w:rFonts w:ascii="標楷體" w:eastAsia="標楷體" w:hAnsi="標楷體" w:hint="eastAsia"/>
          <w:sz w:val="28"/>
        </w:rPr>
        <w:t>結合社會福利、旅遊景點</w:t>
      </w:r>
      <w:r w:rsidR="00375BC2">
        <w:rPr>
          <w:rFonts w:ascii="標楷體" w:eastAsia="標楷體" w:hAnsi="標楷體" w:hint="eastAsia"/>
          <w:sz w:val="28"/>
        </w:rPr>
        <w:t>、</w:t>
      </w:r>
      <w:proofErr w:type="gramStart"/>
      <w:r w:rsidR="00375BC2">
        <w:rPr>
          <w:rFonts w:ascii="標楷體" w:eastAsia="標楷體" w:hAnsi="標楷體" w:hint="eastAsia"/>
          <w:sz w:val="28"/>
        </w:rPr>
        <w:t>身障永續</w:t>
      </w:r>
      <w:proofErr w:type="gramEnd"/>
      <w:r w:rsidR="00375BC2">
        <w:rPr>
          <w:rFonts w:ascii="標楷體" w:eastAsia="標楷體" w:hAnsi="標楷體" w:hint="eastAsia"/>
          <w:sz w:val="28"/>
        </w:rPr>
        <w:t>服務</w:t>
      </w:r>
      <w:r w:rsidR="00050335">
        <w:rPr>
          <w:rFonts w:ascii="標楷體" w:eastAsia="標楷體" w:hAnsi="標楷體" w:hint="eastAsia"/>
          <w:sz w:val="28"/>
        </w:rPr>
        <w:t>及社區發展等多面向</w:t>
      </w:r>
      <w:r w:rsidR="00852B10">
        <w:rPr>
          <w:rFonts w:ascii="標楷體" w:eastAsia="標楷體" w:hAnsi="標楷體" w:hint="eastAsia"/>
          <w:sz w:val="28"/>
        </w:rPr>
        <w:t>積極投標</w:t>
      </w:r>
      <w:r w:rsidR="00375BC2">
        <w:rPr>
          <w:rFonts w:ascii="標楷體" w:eastAsia="標楷體" w:hAnsi="標楷體" w:hint="eastAsia"/>
          <w:sz w:val="28"/>
        </w:rPr>
        <w:t>，</w:t>
      </w:r>
      <w:r w:rsidR="00852B10">
        <w:rPr>
          <w:rFonts w:ascii="標楷體" w:eastAsia="標楷體" w:hAnsi="標楷體" w:hint="eastAsia"/>
          <w:sz w:val="28"/>
        </w:rPr>
        <w:t>並在標得標案後</w:t>
      </w:r>
      <w:r w:rsidR="00375BC2">
        <w:rPr>
          <w:rFonts w:ascii="標楷體" w:eastAsia="標楷體" w:hAnsi="標楷體" w:hint="eastAsia"/>
          <w:sz w:val="28"/>
        </w:rPr>
        <w:t>聘請專業人才經營管理；我院於公開招標初始，便積極撰寫完善之庇護工場經營管理計畫</w:t>
      </w:r>
      <w:r>
        <w:rPr>
          <w:rFonts w:ascii="標楷體" w:eastAsia="標楷體" w:hAnsi="標楷體" w:hint="eastAsia"/>
          <w:sz w:val="28"/>
        </w:rPr>
        <w:t>，管理計畫中包含了身障服務研究、服務品質提升、社區支持與職能治療專業參與及</w:t>
      </w:r>
      <w:r w:rsidR="00852B10">
        <w:rPr>
          <w:rFonts w:ascii="標楷體" w:eastAsia="標楷體" w:hAnsi="標楷體" w:hint="eastAsia"/>
          <w:sz w:val="28"/>
        </w:rPr>
        <w:t>工場營運</w:t>
      </w:r>
      <w:r>
        <w:rPr>
          <w:rFonts w:ascii="標楷體" w:eastAsia="標楷體" w:hAnsi="標楷體" w:hint="eastAsia"/>
          <w:sz w:val="28"/>
        </w:rPr>
        <w:t>控管</w:t>
      </w:r>
      <w:r w:rsidR="00852B10">
        <w:rPr>
          <w:rFonts w:ascii="標楷體" w:eastAsia="標楷體" w:hAnsi="標楷體" w:hint="eastAsia"/>
          <w:sz w:val="28"/>
        </w:rPr>
        <w:t>計畫；我院也在奪標後</w:t>
      </w:r>
      <w:r w:rsidR="00375BC2">
        <w:rPr>
          <w:rFonts w:ascii="標楷體" w:eastAsia="標楷體" w:hAnsi="標楷體" w:hint="eastAsia"/>
          <w:sz w:val="28"/>
        </w:rPr>
        <w:t>招募具</w:t>
      </w:r>
      <w:proofErr w:type="gramStart"/>
      <w:r w:rsidR="00375BC2">
        <w:rPr>
          <w:rFonts w:ascii="標楷體" w:eastAsia="標楷體" w:hAnsi="標楷體" w:hint="eastAsia"/>
          <w:sz w:val="28"/>
        </w:rPr>
        <w:t>豐富身</w:t>
      </w:r>
      <w:proofErr w:type="gramEnd"/>
      <w:r w:rsidR="00375BC2">
        <w:rPr>
          <w:rFonts w:ascii="標楷體" w:eastAsia="標楷體" w:hAnsi="標楷體" w:hint="eastAsia"/>
          <w:sz w:val="28"/>
        </w:rPr>
        <w:t>障服務經驗及工場營運管理人才</w:t>
      </w:r>
      <w:r w:rsidR="00DF212A">
        <w:rPr>
          <w:rFonts w:ascii="標楷體" w:eastAsia="標楷體" w:hAnsi="標楷體" w:hint="eastAsia"/>
          <w:sz w:val="16"/>
        </w:rPr>
        <w:t>見</w:t>
      </w:r>
      <w:r w:rsidR="00DF212A" w:rsidRPr="00D379EB">
        <w:rPr>
          <w:rFonts w:ascii="標楷體" w:eastAsia="標楷體" w:hAnsi="標楷體" w:hint="eastAsia"/>
          <w:sz w:val="16"/>
        </w:rPr>
        <w:t>下表</w:t>
      </w:r>
      <w:r w:rsidR="00DF212A">
        <w:rPr>
          <w:rFonts w:ascii="標楷體" w:eastAsia="標楷體" w:hAnsi="標楷體" w:hint="eastAsia"/>
          <w:sz w:val="16"/>
        </w:rPr>
        <w:t>2</w:t>
      </w:r>
      <w:r w:rsidR="00852B10">
        <w:rPr>
          <w:rFonts w:ascii="標楷體" w:eastAsia="標楷體" w:hAnsi="標楷體" w:hint="eastAsia"/>
          <w:sz w:val="28"/>
        </w:rPr>
        <w:t>，如我院</w:t>
      </w:r>
      <w:proofErr w:type="gramStart"/>
      <w:r w:rsidR="00852B10">
        <w:rPr>
          <w:rFonts w:ascii="標楷體" w:eastAsia="標楷體" w:hAnsi="標楷體" w:hint="eastAsia"/>
          <w:sz w:val="28"/>
        </w:rPr>
        <w:t>職治科</w:t>
      </w:r>
      <w:proofErr w:type="gramEnd"/>
      <w:r w:rsidR="00852B10">
        <w:rPr>
          <w:rFonts w:ascii="標楷體" w:eastAsia="標楷體" w:hAnsi="標楷體" w:hint="eastAsia"/>
          <w:sz w:val="28"/>
        </w:rPr>
        <w:t>主任擔任管理人、並</w:t>
      </w:r>
      <w:proofErr w:type="gramStart"/>
      <w:r w:rsidR="00852B10">
        <w:rPr>
          <w:rFonts w:ascii="標楷體" w:eastAsia="標楷體" w:hAnsi="標楷體" w:hint="eastAsia"/>
          <w:sz w:val="28"/>
        </w:rPr>
        <w:t>聘請具身障</w:t>
      </w:r>
      <w:proofErr w:type="gramEnd"/>
      <w:r w:rsidR="00852B10">
        <w:rPr>
          <w:rFonts w:ascii="標楷體" w:eastAsia="標楷體" w:hAnsi="標楷體" w:hint="eastAsia"/>
          <w:sz w:val="28"/>
        </w:rPr>
        <w:t>及營運豐富經驗人才擔任</w:t>
      </w:r>
      <w:r w:rsidR="000A3480">
        <w:rPr>
          <w:rFonts w:ascii="標楷體" w:eastAsia="標楷體" w:hAnsi="標楷體" w:hint="eastAsia"/>
          <w:sz w:val="28"/>
        </w:rPr>
        <w:t>庇護</w:t>
      </w:r>
      <w:r w:rsidR="00852B10">
        <w:rPr>
          <w:rFonts w:ascii="標楷體" w:eastAsia="標楷體" w:hAnsi="標楷體" w:hint="eastAsia"/>
          <w:sz w:val="28"/>
        </w:rPr>
        <w:t>工場就業服務員及行政營運員</w:t>
      </w:r>
      <w:r w:rsidR="00EB6B01">
        <w:rPr>
          <w:rFonts w:ascii="標楷體" w:eastAsia="標楷體" w:hAnsi="標楷體" w:hint="eastAsia"/>
          <w:sz w:val="28"/>
        </w:rPr>
        <w:t>負責工場各項事務</w:t>
      </w:r>
      <w:r w:rsidR="00EB6B01">
        <w:rPr>
          <w:rFonts w:ascii="標楷體" w:eastAsia="標楷體" w:hAnsi="標楷體" w:hint="eastAsia"/>
          <w:sz w:val="16"/>
        </w:rPr>
        <w:t>見</w:t>
      </w:r>
      <w:r w:rsidR="00EB6B01" w:rsidRPr="00D379EB">
        <w:rPr>
          <w:rFonts w:ascii="標楷體" w:eastAsia="標楷體" w:hAnsi="標楷體" w:hint="eastAsia"/>
          <w:sz w:val="16"/>
        </w:rPr>
        <w:t>下表</w:t>
      </w:r>
      <w:r w:rsidR="00EB6B01">
        <w:rPr>
          <w:rFonts w:ascii="標楷體" w:eastAsia="標楷體" w:hAnsi="標楷體" w:hint="eastAsia"/>
          <w:sz w:val="16"/>
        </w:rPr>
        <w:t>3</w:t>
      </w:r>
      <w:r>
        <w:rPr>
          <w:rFonts w:ascii="標楷體" w:eastAsia="標楷體" w:hAnsi="標楷體" w:hint="eastAsia"/>
          <w:sz w:val="28"/>
        </w:rPr>
        <w:t>。</w:t>
      </w:r>
    </w:p>
    <w:p w:rsidR="00D379EB" w:rsidRPr="00D379EB" w:rsidRDefault="00D379EB" w:rsidP="00050335">
      <w:pPr>
        <w:spacing w:line="60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</w:t>
      </w:r>
      <w:r w:rsidRPr="00D379EB">
        <w:rPr>
          <w:rFonts w:ascii="標楷體" w:eastAsia="標楷體" w:hAnsi="標楷體" w:hint="eastAsia"/>
          <w:sz w:val="22"/>
        </w:rPr>
        <w:t>表1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048"/>
        <w:gridCol w:w="2048"/>
        <w:gridCol w:w="2048"/>
      </w:tblGrid>
      <w:tr w:rsidR="00D379EB" w:rsidRPr="00274221" w:rsidTr="00D379EB">
        <w:trPr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D379EB" w:rsidRPr="00274221" w:rsidRDefault="00D379EB" w:rsidP="00D17F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每期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79EB" w:rsidRPr="00274221" w:rsidRDefault="00D379EB" w:rsidP="00D17F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1次</w:t>
            </w:r>
          </w:p>
          <w:p w:rsidR="00D379EB" w:rsidRPr="00274221" w:rsidRDefault="00D379EB" w:rsidP="00D17F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79EB" w:rsidRPr="00274221" w:rsidRDefault="00D379EB" w:rsidP="00D17F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2次</w:t>
            </w:r>
          </w:p>
          <w:p w:rsidR="00D379EB" w:rsidRPr="00274221" w:rsidRDefault="00D379EB" w:rsidP="00D17F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107年</w:t>
            </w:r>
          </w:p>
        </w:tc>
        <w:tc>
          <w:tcPr>
            <w:tcW w:w="2048" w:type="dxa"/>
            <w:vAlign w:val="center"/>
          </w:tcPr>
          <w:p w:rsidR="00D379EB" w:rsidRPr="00274221" w:rsidRDefault="00D379EB" w:rsidP="00D17F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3次</w:t>
            </w:r>
          </w:p>
          <w:p w:rsidR="00D379EB" w:rsidRPr="00274221" w:rsidRDefault="00D379EB" w:rsidP="00D17F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108年</w:t>
            </w:r>
          </w:p>
        </w:tc>
      </w:tr>
      <w:tr w:rsidR="00D379EB" w:rsidRPr="00274221" w:rsidTr="00D379EB">
        <w:trPr>
          <w:trHeight w:val="545"/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D379EB" w:rsidRPr="00274221" w:rsidRDefault="00D379EB" w:rsidP="00D17F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79EB" w:rsidRPr="00274221" w:rsidRDefault="00D379EB" w:rsidP="00D17F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2,026,000</w:t>
            </w:r>
            <w:r w:rsidRPr="00D379EB">
              <w:rPr>
                <w:rFonts w:ascii="標楷體" w:eastAsia="標楷體" w:hAnsi="標楷體" w:hint="eastAsia"/>
                <w:color w:val="000000"/>
                <w:szCs w:val="28"/>
              </w:rPr>
              <w:t>(含開辦費60萬元)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79EB" w:rsidRPr="00274221" w:rsidRDefault="00D379EB" w:rsidP="00D17F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1,426,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D379EB" w:rsidRPr="00274221" w:rsidRDefault="00D379EB" w:rsidP="00D17F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4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1,426,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</w:tr>
    </w:tbl>
    <w:p w:rsidR="00DF212A" w:rsidRDefault="00DF212A" w:rsidP="00050335">
      <w:pPr>
        <w:spacing w:line="60" w:lineRule="auto"/>
        <w:rPr>
          <w:rFonts w:ascii="標楷體" w:eastAsia="標楷體" w:hAnsi="標楷體"/>
          <w:sz w:val="22"/>
        </w:rPr>
      </w:pPr>
    </w:p>
    <w:p w:rsidR="00D379EB" w:rsidRDefault="00DF212A" w:rsidP="00050335">
      <w:pPr>
        <w:spacing w:line="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2"/>
        </w:rPr>
        <w:t xml:space="preserve">     </w:t>
      </w:r>
      <w:r w:rsidRPr="00D379EB">
        <w:rPr>
          <w:rFonts w:ascii="標楷體" w:eastAsia="標楷體" w:hAnsi="標楷體" w:hint="eastAsia"/>
          <w:sz w:val="22"/>
        </w:rPr>
        <w:t>表</w:t>
      </w:r>
      <w:r>
        <w:rPr>
          <w:rFonts w:ascii="標楷體" w:eastAsia="標楷體" w:hAnsi="標楷體" w:hint="eastAsia"/>
          <w:sz w:val="22"/>
        </w:rPr>
        <w:t>2</w:t>
      </w:r>
    </w:p>
    <w:tbl>
      <w:tblPr>
        <w:tblW w:w="11228" w:type="dxa"/>
        <w:jc w:val="center"/>
        <w:tblInd w:w="-12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054"/>
        <w:gridCol w:w="2414"/>
        <w:gridCol w:w="2615"/>
        <w:gridCol w:w="3622"/>
      </w:tblGrid>
      <w:tr w:rsidR="00DF212A" w:rsidRPr="007E234D" w:rsidTr="00DF212A">
        <w:trPr>
          <w:trHeight w:val="360"/>
          <w:jc w:val="center"/>
        </w:trPr>
        <w:tc>
          <w:tcPr>
            <w:tcW w:w="1523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職　稱</w:t>
            </w:r>
          </w:p>
        </w:tc>
        <w:tc>
          <w:tcPr>
            <w:tcW w:w="1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24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學　歷</w:t>
            </w:r>
          </w:p>
        </w:tc>
        <w:tc>
          <w:tcPr>
            <w:tcW w:w="26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專　長</w:t>
            </w:r>
          </w:p>
        </w:tc>
        <w:tc>
          <w:tcPr>
            <w:tcW w:w="36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產業經驗</w:t>
            </w:r>
          </w:p>
        </w:tc>
      </w:tr>
      <w:tr w:rsidR="00DF212A" w:rsidRPr="007E234D" w:rsidTr="00DF212A">
        <w:trPr>
          <w:trHeight w:val="360"/>
          <w:jc w:val="center"/>
        </w:trPr>
        <w:tc>
          <w:tcPr>
            <w:tcW w:w="1523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職能治療科主任</w:t>
            </w:r>
          </w:p>
        </w:tc>
        <w:tc>
          <w:tcPr>
            <w:tcW w:w="1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崔鴻義</w:t>
            </w:r>
          </w:p>
        </w:tc>
        <w:tc>
          <w:tcPr>
            <w:tcW w:w="24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</w:tcPr>
          <w:p w:rsidR="00661708" w:rsidRDefault="00661708" w:rsidP="00DF212A">
            <w:pPr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台北護理健康大學</w:t>
            </w:r>
          </w:p>
          <w:p w:rsidR="00661708" w:rsidRDefault="00661708" w:rsidP="00DF212A">
            <w:pPr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生死與健康心理諮商碩士</w:t>
            </w:r>
          </w:p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中山醫學院復健醫學系職能治療組學士</w:t>
            </w:r>
          </w:p>
        </w:tc>
        <w:tc>
          <w:tcPr>
            <w:tcW w:w="26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精神病復健</w:t>
            </w:r>
          </w:p>
          <w:p w:rsidR="00DF212A" w:rsidRP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職業復健</w:t>
            </w:r>
          </w:p>
        </w:tc>
        <w:tc>
          <w:tcPr>
            <w:tcW w:w="36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三總北投分院庇護性就業督導</w:t>
            </w:r>
          </w:p>
        </w:tc>
      </w:tr>
      <w:tr w:rsidR="00DF212A" w:rsidRPr="007E234D" w:rsidTr="00DF212A">
        <w:trPr>
          <w:trHeight w:val="360"/>
          <w:jc w:val="center"/>
        </w:trPr>
        <w:tc>
          <w:tcPr>
            <w:tcW w:w="1523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就業服務員</w:t>
            </w:r>
          </w:p>
        </w:tc>
        <w:tc>
          <w:tcPr>
            <w:tcW w:w="1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趙哲晨</w:t>
            </w:r>
            <w:proofErr w:type="gramEnd"/>
          </w:p>
        </w:tc>
        <w:tc>
          <w:tcPr>
            <w:tcW w:w="24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文化大學</w:t>
            </w:r>
          </w:p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心理輔導系學士</w:t>
            </w:r>
          </w:p>
        </w:tc>
        <w:tc>
          <w:tcPr>
            <w:tcW w:w="26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</w:tcPr>
          <w:p w:rsid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身障</w:t>
            </w: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服務</w:t>
            </w:r>
          </w:p>
          <w:p w:rsidR="00DF212A" w:rsidRP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職業重建服務</w:t>
            </w:r>
          </w:p>
        </w:tc>
        <w:tc>
          <w:tcPr>
            <w:tcW w:w="36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自閉症基金會工作坊</w:t>
            </w:r>
            <w:proofErr w:type="gramStart"/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坊</w:t>
            </w:r>
            <w:proofErr w:type="gramEnd"/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</w:t>
            </w:r>
          </w:p>
        </w:tc>
      </w:tr>
      <w:tr w:rsidR="00DF212A" w:rsidRPr="007E234D" w:rsidTr="00DF212A">
        <w:trPr>
          <w:trHeight w:val="360"/>
          <w:jc w:val="center"/>
        </w:trPr>
        <w:tc>
          <w:tcPr>
            <w:tcW w:w="1523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lastRenderedPageBreak/>
              <w:t>營運行政員</w:t>
            </w:r>
          </w:p>
        </w:tc>
        <w:tc>
          <w:tcPr>
            <w:tcW w:w="10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張雅渝</w:t>
            </w:r>
          </w:p>
        </w:tc>
        <w:tc>
          <w:tcPr>
            <w:tcW w:w="241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朝陽科技大學</w:t>
            </w:r>
          </w:p>
          <w:p w:rsidR="00DF212A" w:rsidRPr="00DF212A" w:rsidRDefault="00DF212A" w:rsidP="00DF212A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DF212A">
              <w:rPr>
                <w:rFonts w:ascii="標楷體" w:eastAsia="標楷體" w:hAnsi="標楷體" w:cs="Times New Roman" w:hint="eastAsia"/>
                <w:kern w:val="0"/>
                <w:szCs w:val="20"/>
              </w:rPr>
              <w:t>傳播藝術系學士</w:t>
            </w:r>
          </w:p>
        </w:tc>
        <w:tc>
          <w:tcPr>
            <w:tcW w:w="261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</w:tcPr>
          <w:p w:rsid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店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經營管理</w:t>
            </w:r>
          </w:p>
          <w:p w:rsidR="00DF212A" w:rsidRP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平設企劃</w:t>
            </w:r>
          </w:p>
        </w:tc>
        <w:tc>
          <w:tcPr>
            <w:tcW w:w="3622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BD4B4"/>
          </w:tcPr>
          <w:p w:rsidR="00DF212A" w:rsidRPr="00DF212A" w:rsidRDefault="00DF212A" w:rsidP="00DF212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F212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●</w:t>
            </w:r>
            <w:r w:rsidRPr="00DF21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東森購物執行製作</w:t>
            </w:r>
          </w:p>
        </w:tc>
      </w:tr>
    </w:tbl>
    <w:p w:rsidR="00DF212A" w:rsidRDefault="00DF212A" w:rsidP="00852B10">
      <w:pPr>
        <w:pBdr>
          <w:bottom w:val="single" w:sz="6" w:space="1" w:color="auto"/>
        </w:pBdr>
        <w:spacing w:line="60" w:lineRule="auto"/>
        <w:rPr>
          <w:rFonts w:ascii="標楷體" w:eastAsia="標楷體" w:hAnsi="標楷體"/>
        </w:rPr>
      </w:pPr>
    </w:p>
    <w:p w:rsidR="00EB6B01" w:rsidRDefault="00EB6B01" w:rsidP="00852B10">
      <w:pPr>
        <w:pBdr>
          <w:bottom w:val="single" w:sz="6" w:space="1" w:color="auto"/>
        </w:pBdr>
        <w:spacing w:line="60" w:lineRule="auto"/>
        <w:rPr>
          <w:rFonts w:ascii="標楷體" w:eastAsia="標楷體" w:hAnsi="標楷體"/>
        </w:rPr>
      </w:pPr>
      <w:r w:rsidRPr="00D379EB">
        <w:rPr>
          <w:rFonts w:ascii="標楷體" w:eastAsia="標楷體" w:hAnsi="標楷體" w:hint="eastAsia"/>
          <w:sz w:val="22"/>
        </w:rPr>
        <w:t>表</w:t>
      </w:r>
      <w:r>
        <w:rPr>
          <w:rFonts w:ascii="標楷體" w:eastAsia="標楷體" w:hAnsi="標楷體" w:hint="eastAsia"/>
          <w:sz w:val="22"/>
        </w:rPr>
        <w:t>3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567"/>
      </w:tblGrid>
      <w:tr w:rsidR="00EB6B01" w:rsidRPr="00602DC5" w:rsidTr="003424F2">
        <w:tc>
          <w:tcPr>
            <w:tcW w:w="4433" w:type="dxa"/>
            <w:shd w:val="clear" w:color="auto" w:fill="auto"/>
          </w:tcPr>
          <w:p w:rsidR="00EB6B01" w:rsidRPr="00602DC5" w:rsidRDefault="00EB6B01" w:rsidP="003424F2">
            <w:pPr>
              <w:rPr>
                <w:rFonts w:ascii="標楷體" w:eastAsia="標楷體" w:hAnsi="標楷體"/>
                <w:b/>
              </w:rPr>
            </w:pPr>
            <w:r w:rsidRPr="00602DC5">
              <w:rPr>
                <w:rFonts w:ascii="標楷體" w:eastAsia="標楷體" w:hAnsi="標楷體" w:hint="eastAsia"/>
                <w:b/>
              </w:rPr>
              <w:t>就業服務員</w:t>
            </w:r>
          </w:p>
        </w:tc>
        <w:tc>
          <w:tcPr>
            <w:tcW w:w="4567" w:type="dxa"/>
            <w:shd w:val="clear" w:color="auto" w:fill="auto"/>
          </w:tcPr>
          <w:p w:rsidR="00EB6B01" w:rsidRPr="00602DC5" w:rsidRDefault="00EB6B01" w:rsidP="003424F2">
            <w:pPr>
              <w:rPr>
                <w:rFonts w:ascii="標楷體" w:eastAsia="標楷體" w:hAnsi="標楷體"/>
                <w:b/>
              </w:rPr>
            </w:pPr>
            <w:r w:rsidRPr="00602DC5">
              <w:rPr>
                <w:rFonts w:ascii="標楷體" w:eastAsia="標楷體" w:hAnsi="標楷體" w:hint="eastAsia"/>
                <w:b/>
              </w:rPr>
              <w:t>營運暨行政人員</w:t>
            </w:r>
          </w:p>
        </w:tc>
      </w:tr>
      <w:tr w:rsidR="00EB6B01" w:rsidRPr="00602DC5" w:rsidTr="003424F2">
        <w:tc>
          <w:tcPr>
            <w:tcW w:w="4433" w:type="dxa"/>
            <w:shd w:val="clear" w:color="auto" w:fill="auto"/>
          </w:tcPr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庇護工場工作分析、職務分配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招募庇護性就業者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提供庇護性就業者庇護就業評估、擬定與執行就業服務計畫、執行職務再設計、撰寫服務記錄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協助庇護性就業者社區適應、提供社會支持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建立庇護性就業者工作觀念、工作態度要求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協助庇護性就業者商店營業員工作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營運事務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接洽廠商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規劃及執行行銷活動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計算庇護性就業者薪資</w:t>
            </w:r>
          </w:p>
          <w:p w:rsidR="00EB6B01" w:rsidRPr="00602DC5" w:rsidRDefault="00EB6B01" w:rsidP="00EB6B0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危機處理</w:t>
            </w:r>
          </w:p>
          <w:p w:rsidR="00EB6B01" w:rsidRPr="00602DC5" w:rsidRDefault="00EB6B01" w:rsidP="00661708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602DC5">
              <w:rPr>
                <w:rFonts w:ascii="標楷體" w:eastAsia="標楷體" w:hAnsi="標楷體" w:hint="eastAsia"/>
              </w:rPr>
              <w:t>行政作業</w:t>
            </w:r>
          </w:p>
        </w:tc>
        <w:tc>
          <w:tcPr>
            <w:tcW w:w="4567" w:type="dxa"/>
            <w:shd w:val="clear" w:color="auto" w:fill="auto"/>
          </w:tcPr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營運事務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規劃營運目標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規劃及執行行銷活動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研發產品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接洽廠商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財務管理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營運管理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職場安全及災害預防管理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危機處理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保險及稅務管理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協助庇護性就業者商店營業員工作</w:t>
            </w:r>
          </w:p>
          <w:p w:rsidR="00EB6B01" w:rsidRPr="00602DC5" w:rsidRDefault="00EB6B01" w:rsidP="00EB6B01">
            <w:pPr>
              <w:numPr>
                <w:ilvl w:val="3"/>
                <w:numId w:val="1"/>
              </w:numPr>
              <w:rPr>
                <w:rFonts w:ascii="標楷體" w:eastAsia="標楷體" w:hAnsi="標楷體"/>
              </w:rPr>
            </w:pPr>
            <w:r w:rsidRPr="00602DC5">
              <w:rPr>
                <w:rFonts w:ascii="標楷體" w:eastAsia="標楷體" w:hAnsi="標楷體" w:hint="eastAsia"/>
              </w:rPr>
              <w:t>行政作業</w:t>
            </w:r>
          </w:p>
        </w:tc>
      </w:tr>
    </w:tbl>
    <w:p w:rsidR="00EB6B01" w:rsidRDefault="00EB6B01" w:rsidP="00852B10">
      <w:pPr>
        <w:pBdr>
          <w:bottom w:val="single" w:sz="6" w:space="1" w:color="auto"/>
        </w:pBdr>
        <w:spacing w:line="60" w:lineRule="auto"/>
        <w:rPr>
          <w:rFonts w:ascii="標楷體" w:eastAsia="標楷體" w:hAnsi="標楷體"/>
        </w:rPr>
      </w:pPr>
    </w:p>
    <w:p w:rsidR="00852B10" w:rsidRDefault="00852B10" w:rsidP="00852B10">
      <w:pPr>
        <w:pBdr>
          <w:bottom w:val="single" w:sz="6" w:space="1" w:color="auto"/>
        </w:pBdr>
        <w:spacing w:line="60" w:lineRule="auto"/>
        <w:rPr>
          <w:rFonts w:ascii="標楷體" w:eastAsia="標楷體" w:hAnsi="標楷體"/>
        </w:rPr>
      </w:pPr>
      <w:r w:rsidRPr="00375BC2">
        <w:rPr>
          <w:rFonts w:ascii="標楷體" w:eastAsia="標楷體" w:hAnsi="標楷體" w:hint="eastAsia"/>
        </w:rPr>
        <w:t>庇護性</w:t>
      </w:r>
      <w:r>
        <w:rPr>
          <w:rFonts w:ascii="標楷體" w:eastAsia="標楷體" w:hAnsi="標楷體" w:hint="eastAsia"/>
        </w:rPr>
        <w:t>就業</w:t>
      </w:r>
      <w:r w:rsidRPr="00375BC2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成效</w:t>
      </w:r>
      <w:r w:rsidRPr="00375BC2">
        <w:rPr>
          <w:rFonts w:ascii="標楷體" w:eastAsia="標楷體" w:hAnsi="標楷體" w:hint="eastAsia"/>
        </w:rPr>
        <w:t>(</w:t>
      </w:r>
      <w:r w:rsidR="00ED6844">
        <w:rPr>
          <w:rFonts w:ascii="標楷體" w:eastAsia="標楷體" w:hAnsi="標楷體" w:hint="eastAsia"/>
        </w:rPr>
        <w:t>獲得自我肯定及社會的接納</w:t>
      </w:r>
      <w:r w:rsidRPr="00375BC2">
        <w:rPr>
          <w:rFonts w:ascii="標楷體" w:eastAsia="標楷體" w:hAnsi="標楷體" w:hint="eastAsia"/>
        </w:rPr>
        <w:t>)</w:t>
      </w:r>
    </w:p>
    <w:p w:rsidR="005C3894" w:rsidRDefault="005C3894" w:rsidP="00050335">
      <w:pPr>
        <w:spacing w:line="60" w:lineRule="auto"/>
        <w:rPr>
          <w:rFonts w:ascii="標楷體" w:eastAsia="標楷體" w:hAnsi="標楷體"/>
          <w:sz w:val="28"/>
        </w:rPr>
      </w:pPr>
      <w:r w:rsidRPr="005C3894">
        <w:rPr>
          <w:rFonts w:ascii="標楷體" w:eastAsia="標楷體" w:hAnsi="標楷體" w:hint="eastAsia"/>
          <w:color w:val="FF0000"/>
        </w:rPr>
        <w:t>歷年成績</w:t>
      </w:r>
      <w:r w:rsidR="00852B10">
        <w:rPr>
          <w:rFonts w:ascii="標楷體" w:eastAsia="標楷體" w:hAnsi="標楷體" w:hint="eastAsia"/>
          <w:sz w:val="28"/>
        </w:rPr>
        <w:t>我院經營地熱谷庇護工場已近十</w:t>
      </w:r>
      <w:proofErr w:type="gramStart"/>
      <w:r w:rsidR="00852B10">
        <w:rPr>
          <w:rFonts w:ascii="標楷體" w:eastAsia="標楷體" w:hAnsi="標楷體" w:hint="eastAsia"/>
          <w:sz w:val="28"/>
        </w:rPr>
        <w:t>個</w:t>
      </w:r>
      <w:proofErr w:type="gramEnd"/>
      <w:r w:rsidR="00852B10">
        <w:rPr>
          <w:rFonts w:ascii="標楷體" w:eastAsia="標楷體" w:hAnsi="標楷體" w:hint="eastAsia"/>
          <w:sz w:val="28"/>
        </w:rPr>
        <w:t>年頭，期間共取得優秀成績獲得最大的肯定，獎項如臺北市庇護工場評鑑中，104年獲得甲等、106年及108年更獲得優等，並且在10</w:t>
      </w:r>
      <w:r w:rsidR="00661708">
        <w:rPr>
          <w:rFonts w:ascii="標楷體" w:eastAsia="標楷體" w:hAnsi="標楷體" w:hint="eastAsia"/>
          <w:sz w:val="28"/>
        </w:rPr>
        <w:t>5</w:t>
      </w:r>
      <w:r w:rsidR="00852B10">
        <w:rPr>
          <w:rFonts w:ascii="標楷體" w:eastAsia="標楷體" w:hAnsi="標楷體" w:hint="eastAsia"/>
          <w:sz w:val="28"/>
        </w:rPr>
        <w:t>年</w:t>
      </w:r>
      <w:r w:rsidR="00661708">
        <w:rPr>
          <w:rFonts w:ascii="標楷體" w:eastAsia="標楷體" w:hAnsi="標楷體" w:hint="eastAsia"/>
          <w:sz w:val="28"/>
        </w:rPr>
        <w:t>通過</w:t>
      </w:r>
      <w:r w:rsidR="00852B10">
        <w:rPr>
          <w:rFonts w:ascii="標楷體" w:eastAsia="標楷體" w:hAnsi="標楷體" w:hint="eastAsia"/>
          <w:sz w:val="28"/>
        </w:rPr>
        <w:t>國家</w:t>
      </w:r>
      <w:r w:rsidR="00661708">
        <w:rPr>
          <w:rFonts w:ascii="標楷體" w:eastAsia="標楷體" w:hAnsi="標楷體" w:hint="eastAsia"/>
          <w:sz w:val="28"/>
        </w:rPr>
        <w:t>品質標章</w:t>
      </w:r>
      <w:r w:rsidR="00852B10">
        <w:rPr>
          <w:rFonts w:ascii="標楷體" w:eastAsia="標楷體" w:hAnsi="標楷體" w:hint="eastAsia"/>
          <w:sz w:val="28"/>
        </w:rPr>
        <w:t>SNQ</w:t>
      </w:r>
      <w:r w:rsidR="00661708">
        <w:rPr>
          <w:rFonts w:ascii="標楷體" w:eastAsia="標楷體" w:hAnsi="標楷體" w:hint="eastAsia"/>
          <w:sz w:val="28"/>
        </w:rPr>
        <w:t>認證</w:t>
      </w:r>
      <w:r w:rsidR="00852B10">
        <w:rPr>
          <w:rFonts w:ascii="標楷體" w:eastAsia="標楷體" w:hAnsi="標楷體" w:hint="eastAsia"/>
          <w:sz w:val="28"/>
        </w:rPr>
        <w:t>，獲得醫院</w:t>
      </w:r>
      <w:r w:rsidR="00661708">
        <w:rPr>
          <w:rFonts w:ascii="標楷體" w:eastAsia="標楷體" w:hAnsi="標楷體" w:hint="eastAsia"/>
          <w:sz w:val="28"/>
        </w:rPr>
        <w:t>特色醫療組第一名之</w:t>
      </w:r>
      <w:r w:rsidR="00852B10">
        <w:rPr>
          <w:rFonts w:ascii="標楷體" w:eastAsia="標楷體" w:hAnsi="標楷體" w:hint="eastAsia"/>
          <w:sz w:val="28"/>
        </w:rPr>
        <w:t>殊榮。</w:t>
      </w:r>
    </w:p>
    <w:p w:rsidR="005C3894" w:rsidRDefault="005C3894" w:rsidP="00050335">
      <w:pPr>
        <w:spacing w:line="60" w:lineRule="auto"/>
        <w:rPr>
          <w:rFonts w:ascii="標楷體" w:eastAsia="標楷體" w:hAnsi="標楷體"/>
          <w:sz w:val="28"/>
        </w:rPr>
      </w:pPr>
      <w:r w:rsidRPr="005C3894">
        <w:rPr>
          <w:rFonts w:ascii="標楷體" w:eastAsia="標楷體" w:hAnsi="標楷體" w:hint="eastAsia"/>
          <w:color w:val="FF0000"/>
        </w:rPr>
        <w:t>設立身障就業基金</w:t>
      </w:r>
      <w:r w:rsidR="00852B10">
        <w:rPr>
          <w:rFonts w:ascii="標楷體" w:eastAsia="標楷體" w:hAnsi="標楷體" w:hint="eastAsia"/>
          <w:sz w:val="28"/>
        </w:rPr>
        <w:t>上述優良成績皆來自於我院</w:t>
      </w:r>
      <w:r w:rsidR="00ED6844">
        <w:rPr>
          <w:rFonts w:ascii="標楷體" w:eastAsia="標楷體" w:hAnsi="標楷體" w:hint="eastAsia"/>
          <w:sz w:val="28"/>
        </w:rPr>
        <w:t>有效且完整的管理方式如「設置與母機構獨立分開之</w:t>
      </w:r>
      <w:r>
        <w:rPr>
          <w:rFonts w:ascii="標楷體" w:eastAsia="標楷體" w:hAnsi="標楷體" w:hint="eastAsia"/>
          <w:sz w:val="28"/>
        </w:rPr>
        <w:t>身障就業基金</w:t>
      </w:r>
      <w:r w:rsidR="00ED6844">
        <w:rPr>
          <w:rFonts w:ascii="標楷體" w:eastAsia="標楷體" w:hAnsi="標楷體" w:hint="eastAsia"/>
          <w:sz w:val="28"/>
        </w:rPr>
        <w:t>帳戶」達成專款專用效果，將此帳戶透明且公開化，每年年初定期檢視前年營運績效</w:t>
      </w:r>
      <w:r>
        <w:rPr>
          <w:rFonts w:ascii="標楷體" w:eastAsia="標楷體" w:hAnsi="標楷體" w:hint="eastAsia"/>
          <w:sz w:val="28"/>
        </w:rPr>
        <w:t>。</w:t>
      </w:r>
    </w:p>
    <w:p w:rsidR="005C3894" w:rsidRDefault="005C3894" w:rsidP="00050335">
      <w:pPr>
        <w:spacing w:line="60" w:lineRule="auto"/>
        <w:rPr>
          <w:rFonts w:ascii="標楷體" w:eastAsia="標楷體" w:hAnsi="標楷體"/>
          <w:sz w:val="28"/>
        </w:rPr>
      </w:pPr>
      <w:r w:rsidRPr="005C3894">
        <w:rPr>
          <w:rFonts w:ascii="標楷體" w:eastAsia="標楷體" w:hAnsi="標楷體" w:hint="eastAsia"/>
          <w:color w:val="FF0000"/>
        </w:rPr>
        <w:lastRenderedPageBreak/>
        <w:t>歷年經營成</w:t>
      </w:r>
      <w:r>
        <w:rPr>
          <w:rFonts w:ascii="標楷體" w:eastAsia="標楷體" w:hAnsi="標楷體" w:hint="eastAsia"/>
          <w:color w:val="FF0000"/>
        </w:rPr>
        <w:t>果</w:t>
      </w:r>
      <w:r w:rsidRPr="005C3894">
        <w:rPr>
          <w:rFonts w:ascii="標楷體" w:eastAsia="標楷體" w:hAnsi="標楷體" w:hint="eastAsia"/>
          <w:color w:val="FF0000"/>
        </w:rPr>
        <w:t>明細</w:t>
      </w:r>
      <w:r>
        <w:rPr>
          <w:rFonts w:ascii="標楷體" w:eastAsia="標楷體" w:hAnsi="標楷體" w:hint="eastAsia"/>
          <w:sz w:val="28"/>
        </w:rPr>
        <w:t>另外也</w:t>
      </w:r>
      <w:r w:rsidR="00ED6844">
        <w:rPr>
          <w:rFonts w:ascii="標楷體" w:eastAsia="標楷體" w:hAnsi="標楷體" w:hint="eastAsia"/>
          <w:sz w:val="28"/>
        </w:rPr>
        <w:t>邀請專業會計事務所會計提供營運建議</w:t>
      </w:r>
      <w:proofErr w:type="gramStart"/>
      <w:r w:rsidR="00ED6844">
        <w:rPr>
          <w:rFonts w:ascii="標楷體" w:eastAsia="標楷體" w:hAnsi="標楷體" w:hint="eastAsia"/>
          <w:sz w:val="28"/>
        </w:rPr>
        <w:t>或督核</w:t>
      </w:r>
      <w:proofErr w:type="gramEnd"/>
      <w:r w:rsidR="00ED6844">
        <w:rPr>
          <w:rFonts w:ascii="標楷體" w:eastAsia="標楷體" w:hAnsi="標楷體" w:hint="eastAsia"/>
          <w:sz w:val="28"/>
        </w:rPr>
        <w:t>，並繳交可公開之財報</w:t>
      </w:r>
      <w:r w:rsidR="00A73DBA">
        <w:rPr>
          <w:rFonts w:ascii="標楷體" w:eastAsia="標楷體" w:hAnsi="標楷體" w:hint="eastAsia"/>
          <w:sz w:val="28"/>
        </w:rPr>
        <w:t>及盈餘</w:t>
      </w:r>
      <w:r w:rsidR="00ED6844">
        <w:rPr>
          <w:rFonts w:ascii="標楷體" w:eastAsia="標楷體" w:hAnsi="標楷體" w:hint="eastAsia"/>
          <w:sz w:val="28"/>
        </w:rPr>
        <w:t>資料</w:t>
      </w:r>
      <w:r w:rsidR="00ED6844" w:rsidRPr="00ED6844">
        <w:rPr>
          <w:rFonts w:ascii="標楷體" w:eastAsia="標楷體" w:hAnsi="標楷體" w:hint="eastAsia"/>
          <w:sz w:val="16"/>
        </w:rPr>
        <w:t>見下表</w:t>
      </w:r>
      <w:r w:rsidR="00EB6B01">
        <w:rPr>
          <w:rFonts w:ascii="標楷體" w:eastAsia="標楷體" w:hAnsi="標楷體" w:hint="eastAsia"/>
          <w:sz w:val="16"/>
        </w:rPr>
        <w:t>4</w:t>
      </w:r>
      <w:r w:rsidR="00ED6844">
        <w:rPr>
          <w:rFonts w:ascii="標楷體" w:eastAsia="標楷體" w:hAnsi="標楷體" w:hint="eastAsia"/>
          <w:sz w:val="28"/>
        </w:rPr>
        <w:t>於公部門網站揭示</w:t>
      </w:r>
      <w:r>
        <w:rPr>
          <w:rFonts w:ascii="標楷體" w:eastAsia="標楷體" w:hAnsi="標楷體" w:hint="eastAsia"/>
          <w:sz w:val="28"/>
        </w:rPr>
        <w:t>。</w:t>
      </w:r>
    </w:p>
    <w:p w:rsidR="005C3894" w:rsidRDefault="005C3894" w:rsidP="00050335">
      <w:pPr>
        <w:spacing w:line="60" w:lineRule="auto"/>
        <w:rPr>
          <w:rFonts w:ascii="標楷體" w:eastAsia="標楷體" w:hAnsi="標楷體"/>
          <w:sz w:val="28"/>
        </w:rPr>
      </w:pPr>
      <w:r w:rsidRPr="005C3894">
        <w:rPr>
          <w:rFonts w:ascii="標楷體" w:eastAsia="標楷體" w:hAnsi="標楷體" w:hint="eastAsia"/>
          <w:color w:val="FF0000"/>
        </w:rPr>
        <w:t>院外庇護工場的獨特性</w:t>
      </w:r>
      <w:r>
        <w:rPr>
          <w:rFonts w:ascii="標楷體" w:eastAsia="標楷體" w:hAnsi="標楷體" w:hint="eastAsia"/>
          <w:sz w:val="28"/>
        </w:rPr>
        <w:t>本場因其觀光特性完全對外開放，不管是國內外遊客</w:t>
      </w:r>
      <w:r w:rsidR="00661708">
        <w:rPr>
          <w:rFonts w:ascii="標楷體" w:eastAsia="標楷體" w:hAnsi="標楷體" w:hint="eastAsia"/>
          <w:sz w:val="28"/>
        </w:rPr>
        <w:t>絡繹不絕</w:t>
      </w:r>
      <w:r>
        <w:rPr>
          <w:rFonts w:ascii="標楷體" w:eastAsia="標楷體" w:hAnsi="標楷體" w:hint="eastAsia"/>
          <w:sz w:val="28"/>
        </w:rPr>
        <w:t>，據統計，每年前往北投溫泉區觀光人潮即達10萬人次，我院藉此機</w:t>
      </w:r>
      <w:r w:rsidR="00661708">
        <w:rPr>
          <w:rFonts w:ascii="標楷體" w:eastAsia="標楷體" w:hAnsi="標楷體" w:hint="eastAsia"/>
          <w:sz w:val="28"/>
        </w:rPr>
        <w:t>會對外展現身障服務的軟實力，在年年問卷調查中，國內外旅客皆對小</w:t>
      </w:r>
      <w:proofErr w:type="gramStart"/>
      <w:r w:rsidR="00661708">
        <w:rPr>
          <w:rFonts w:ascii="標楷體" w:eastAsia="標楷體" w:hAnsi="標楷體" w:hint="eastAsia"/>
          <w:sz w:val="28"/>
        </w:rPr>
        <w:t>舖</w:t>
      </w:r>
      <w:proofErr w:type="gramEnd"/>
      <w:r>
        <w:rPr>
          <w:rFonts w:ascii="標楷體" w:eastAsia="標楷體" w:hAnsi="標楷體" w:hint="eastAsia"/>
          <w:sz w:val="28"/>
        </w:rPr>
        <w:t>庇護性就業者的觀光服務讚譽有加。</w:t>
      </w:r>
    </w:p>
    <w:p w:rsidR="005C3894" w:rsidRDefault="005C3894" w:rsidP="00050335">
      <w:pPr>
        <w:spacing w:line="60" w:lineRule="auto"/>
        <w:rPr>
          <w:rFonts w:ascii="標楷體" w:eastAsia="標楷體" w:hAnsi="標楷體"/>
          <w:color w:val="000000"/>
          <w:sz w:val="28"/>
          <w:szCs w:val="28"/>
        </w:rPr>
      </w:pPr>
      <w:r w:rsidRPr="005C3894">
        <w:rPr>
          <w:rFonts w:ascii="標楷體" w:eastAsia="標楷體" w:hAnsi="標楷體" w:hint="eastAsia"/>
          <w:color w:val="FF0000"/>
        </w:rPr>
        <w:t>庇護性就業者月平均薪資</w:t>
      </w:r>
      <w:r w:rsidR="00661708" w:rsidRPr="00661708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</w:rPr>
        <w:t>營運下</w:t>
      </w:r>
      <w:r w:rsidR="00661708">
        <w:rPr>
          <w:rFonts w:ascii="標楷體" w:eastAsia="標楷體" w:hAnsi="標楷體" w:hint="eastAsia"/>
          <w:sz w:val="28"/>
        </w:rPr>
        <w:t>績效表現提升下</w:t>
      </w:r>
      <w:r>
        <w:rPr>
          <w:rFonts w:ascii="標楷體" w:eastAsia="標楷體" w:hAnsi="標楷體" w:hint="eastAsia"/>
          <w:sz w:val="28"/>
        </w:rPr>
        <w:t>，我院回饋予庇護性就業者的薪資及員工獎金也年年增加。故</w:t>
      </w:r>
      <w:r w:rsidR="00356720">
        <w:rPr>
          <w:rFonts w:ascii="標楷體" w:eastAsia="標楷體" w:hAnsi="標楷體" w:hint="eastAsia"/>
          <w:sz w:val="28"/>
        </w:rPr>
        <w:t>以庇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護工場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之庇護性就業者平均月收入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而言，根據勞動力發展署全球資訊網提供之《</w:t>
      </w:r>
      <w:r w:rsidR="000A3480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年全年度各地方政府推動庇護工場業務情形調查表》</w:t>
      </w:r>
      <w:r w:rsidR="00A73DBA" w:rsidRPr="00A73DBA">
        <w:rPr>
          <w:rFonts w:ascii="標楷體" w:eastAsia="標楷體" w:hAnsi="標楷體" w:hint="eastAsia"/>
          <w:color w:val="000000"/>
          <w:sz w:val="16"/>
          <w:szCs w:val="28"/>
        </w:rPr>
        <w:t>見下表</w:t>
      </w:r>
      <w:r w:rsidR="00EB6B01">
        <w:rPr>
          <w:rFonts w:ascii="標楷體" w:eastAsia="標楷體" w:hAnsi="標楷體" w:hint="eastAsia"/>
          <w:color w:val="000000"/>
          <w:sz w:val="16"/>
          <w:szCs w:val="28"/>
        </w:rPr>
        <w:t>5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數據資料顯示，</w:t>
      </w:r>
      <w:r w:rsidR="000A3480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庇護工場共計1</w:t>
      </w:r>
      <w:r w:rsidR="000A348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間，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每月平均薪資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為新台幣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242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元，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而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106年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地熱谷庇護工場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庇護性就業者平均月薪資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302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，107年為</w:t>
      </w:r>
      <w:r w:rsidR="00356720" w:rsidRPr="00B461D4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56720" w:rsidRPr="00B461D4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356720" w:rsidRPr="00B461D4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108年則為新台幣10,554元。年年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高出全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庇護工場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平均</w:t>
      </w:r>
      <w:r w:rsidR="00356720">
        <w:rPr>
          <w:rFonts w:ascii="標楷體" w:eastAsia="標楷體" w:hAnsi="標楷體" w:hint="eastAsia"/>
          <w:color w:val="000000"/>
          <w:sz w:val="28"/>
          <w:szCs w:val="28"/>
        </w:rPr>
        <w:t>薪資，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足見地熱谷庇護工場在營業經營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、營業淨利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A73DBA" w:rsidRPr="00B461D4">
        <w:rPr>
          <w:rFonts w:ascii="標楷體" w:eastAsia="標楷體" w:hAnsi="標楷體" w:hint="eastAsia"/>
          <w:color w:val="000000"/>
          <w:sz w:val="28"/>
          <w:szCs w:val="28"/>
        </w:rPr>
        <w:t>庇護平均薪資</w:t>
      </w:r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等數值</w:t>
      </w:r>
      <w:proofErr w:type="gramStart"/>
      <w:r w:rsidR="000A3480" w:rsidRPr="00B461D4">
        <w:rPr>
          <w:rFonts w:ascii="標楷體" w:eastAsia="標楷體" w:hAnsi="標楷體" w:hint="eastAsia"/>
          <w:color w:val="000000"/>
          <w:sz w:val="28"/>
          <w:szCs w:val="28"/>
        </w:rPr>
        <w:t>上均居</w:t>
      </w:r>
      <w:r w:rsidR="00661708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超前地位；</w:t>
      </w:r>
    </w:p>
    <w:p w:rsidR="005C3894" w:rsidRDefault="005C3894" w:rsidP="00050335">
      <w:pPr>
        <w:spacing w:line="60" w:lineRule="auto"/>
        <w:rPr>
          <w:rFonts w:ascii="標楷體" w:eastAsia="標楷體" w:hAnsi="標楷體"/>
          <w:color w:val="000000"/>
          <w:sz w:val="28"/>
          <w:szCs w:val="28"/>
        </w:rPr>
      </w:pPr>
      <w:r w:rsidRPr="005C3894">
        <w:rPr>
          <w:rFonts w:ascii="標楷體" w:eastAsia="標楷體" w:hAnsi="標楷體" w:hint="eastAsia"/>
          <w:color w:val="FF0000"/>
        </w:rPr>
        <w:t>產學合作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另外，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我院在</w:t>
      </w:r>
      <w:r w:rsidR="00DF212A">
        <w:rPr>
          <w:rFonts w:ascii="標楷體" w:eastAsia="標楷體" w:hAnsi="標楷體" w:hint="eastAsia"/>
          <w:color w:val="000000"/>
          <w:sz w:val="28"/>
          <w:szCs w:val="28"/>
        </w:rPr>
        <w:t>專業人才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管理上，達成產學合作的擴散效應</w:t>
      </w:r>
      <w:r w:rsidR="00DF212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proofErr w:type="gramStart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proofErr w:type="gramEnd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年度我院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與國立</w:t>
      </w:r>
      <w:proofErr w:type="gramStart"/>
      <w:r w:rsidR="00A73DB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A73DBA">
        <w:rPr>
          <w:rFonts w:ascii="標楷體" w:eastAsia="標楷體" w:hAnsi="標楷體" w:hint="eastAsia"/>
          <w:color w:val="000000"/>
          <w:sz w:val="28"/>
          <w:szCs w:val="28"/>
        </w:rPr>
        <w:t>北健康護理大學合作</w:t>
      </w:r>
      <w:r w:rsidR="00DF212A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「職業服務人才計畫</w:t>
      </w:r>
      <w:r w:rsidR="00661708" w:rsidRPr="00661708">
        <w:rPr>
          <w:rFonts w:ascii="標楷體" w:eastAsia="標楷體" w:hAnsi="標楷體" w:hint="eastAsia"/>
          <w:color w:val="000000"/>
          <w:sz w:val="28"/>
          <w:szCs w:val="28"/>
        </w:rPr>
        <w:t>再造</w:t>
      </w:r>
      <w:r w:rsidR="00A73DBA">
        <w:rPr>
          <w:rFonts w:ascii="標楷體" w:eastAsia="標楷體" w:hAnsi="標楷體" w:hint="eastAsia"/>
          <w:color w:val="000000"/>
          <w:sz w:val="28"/>
          <w:szCs w:val="28"/>
        </w:rPr>
        <w:t>」，</w:t>
      </w:r>
      <w:r w:rsidR="00DF212A">
        <w:rPr>
          <w:rFonts w:ascii="標楷體" w:eastAsia="標楷體" w:hAnsi="標楷體" w:hint="eastAsia"/>
          <w:color w:val="000000"/>
          <w:sz w:val="28"/>
          <w:szCs w:val="28"/>
        </w:rPr>
        <w:t>提供該校六位實習生，以完整</w:t>
      </w:r>
      <w:proofErr w:type="gramStart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的職重服務</w:t>
      </w:r>
      <w:proofErr w:type="gramEnd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教學、實地演練、團體活動設計、職務再設計試作、工作SOP流程設計</w:t>
      </w:r>
      <w:proofErr w:type="gramStart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及職重服務</w:t>
      </w:r>
      <w:proofErr w:type="gramEnd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系統</w:t>
      </w:r>
      <w:r w:rsidR="00DF21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使用課程等，提前讓實習生先行了解職重生態及服務狀況，將我院在身障服務上的服務成效擴散至學校層級，並藉</w:t>
      </w:r>
      <w:proofErr w:type="gramStart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由此次產學</w:t>
      </w:r>
      <w:proofErr w:type="gramEnd"/>
      <w:r w:rsidR="00DF212A">
        <w:rPr>
          <w:rFonts w:ascii="標楷體" w:eastAsia="標楷體" w:hAnsi="標楷體" w:hint="eastAsia"/>
          <w:color w:val="000000"/>
          <w:sz w:val="28"/>
          <w:szCs w:val="28"/>
        </w:rPr>
        <w:t>合作成功經驗，敲定後續每年繼續實施再造計畫。</w:t>
      </w:r>
    </w:p>
    <w:p w:rsidR="005C3894" w:rsidRDefault="005C3894" w:rsidP="00050335">
      <w:pPr>
        <w:spacing w:line="60" w:lineRule="auto"/>
        <w:rPr>
          <w:rFonts w:ascii="標楷體" w:eastAsia="標楷體" w:hAnsi="標楷體"/>
          <w:color w:val="000000"/>
          <w:sz w:val="28"/>
          <w:szCs w:val="28"/>
        </w:rPr>
      </w:pPr>
      <w:r w:rsidRPr="005C3894">
        <w:rPr>
          <w:rFonts w:ascii="標楷體" w:eastAsia="標楷體" w:hAnsi="標楷體" w:hint="eastAsia"/>
          <w:color w:val="FF0000"/>
        </w:rPr>
        <w:t>庇護員工的社會復歸成效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經營工場近十年以來，工場也</w:t>
      </w:r>
      <w:r w:rsidR="00D02324">
        <w:rPr>
          <w:rFonts w:ascii="標楷體" w:eastAsia="標楷體" w:hAnsi="標楷體" w:hint="eastAsia"/>
          <w:color w:val="000000"/>
          <w:sz w:val="28"/>
          <w:szCs w:val="28"/>
        </w:rPr>
        <w:t>擔任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推手，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每年均發問卷調查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庇護性員工轉介意願，連結公部門資源予庇護性員工進行轉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前之評估、面試、試作及一般職場上線之支持動作，如聯絡支持性就服員(職業個案管理員)協助進行工作能力評估，或給予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有薪假鼓勵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員工前往一般職場面試或試作。故以此資源作服務轉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成功率極高，經面試及試作後上線人數為二人(106-108年共三人使用轉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資源，兩人轉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成功為鞋業公司美編及美樂佳銷售商)。</w:t>
      </w:r>
    </w:p>
    <w:p w:rsidR="000A3480" w:rsidRDefault="00D02324" w:rsidP="00050335">
      <w:pPr>
        <w:spacing w:line="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Cs w:val="28"/>
        </w:rPr>
        <w:t>小妮的</w:t>
      </w:r>
      <w:r w:rsidR="005C3894" w:rsidRPr="005C3894">
        <w:rPr>
          <w:rFonts w:ascii="標楷體" w:eastAsia="標楷體" w:hAnsi="標楷體" w:hint="eastAsia"/>
          <w:color w:val="FF0000"/>
          <w:szCs w:val="28"/>
        </w:rPr>
        <w:t>故事</w:t>
      </w:r>
      <w:r w:rsidR="005C3894">
        <w:rPr>
          <w:rFonts w:ascii="標楷體" w:eastAsia="標楷體" w:hAnsi="標楷體" w:hint="eastAsia"/>
          <w:color w:val="000000"/>
          <w:sz w:val="28"/>
          <w:szCs w:val="28"/>
        </w:rPr>
        <w:t>轉介成功經驗之故事更是令人感動</w:t>
      </w:r>
      <w:bookmarkStart w:id="0" w:name="_GoBack"/>
      <w:bookmarkEnd w:id="0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小妮</w:t>
      </w:r>
      <w:r w:rsidR="005C3894">
        <w:rPr>
          <w:rFonts w:ascii="標楷體" w:eastAsia="標楷體" w:hAnsi="標楷體" w:hint="eastAsia"/>
          <w:color w:val="000000"/>
          <w:sz w:val="28"/>
          <w:szCs w:val="28"/>
        </w:rPr>
        <w:t>為大學美術系畢業學生，後天因車禍導致腦部受傷，工作及生活能力下降被判定為障礙輕度，原對生活失去熱忱，對未來感受不到希望時，後來在我場心理輔導及工作能力訓練後，逐漸恢復自信。一日，便向我院尋求轉</w:t>
      </w:r>
      <w:proofErr w:type="gramStart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資源的協助，在我院聯繫</w:t>
      </w:r>
      <w:proofErr w:type="gramStart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好職管</w:t>
      </w:r>
      <w:proofErr w:type="gramEnd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員後，並開始進行面試準備、整理美術作品、工作種類討論及職場狀況演練後，交</w:t>
      </w:r>
      <w:proofErr w:type="gramStart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由職管員</w:t>
      </w:r>
      <w:proofErr w:type="gramEnd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陪同面試，我場給予</w:t>
      </w:r>
      <w:proofErr w:type="gramStart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有薪假支持</w:t>
      </w:r>
      <w:proofErr w:type="gramEnd"/>
      <w:r w:rsidR="005C3894">
        <w:rPr>
          <w:rFonts w:ascii="標楷體" w:eastAsia="標楷體" w:hAnsi="標楷體" w:hint="eastAsia"/>
          <w:color w:val="000000"/>
          <w:sz w:val="28"/>
          <w:szCs w:val="28"/>
        </w:rPr>
        <w:t>，讓庇護性員工放心面試。後，因做好充足準備，面試日當天即決定雇用，並承諾會照顧該位員工。該位員工如期到職並滿月後，我場專業人員即在最後一次聯繫中告知結案，並祝福員工</w:t>
      </w:r>
      <w:r w:rsidR="005C389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工作順利。</w:t>
      </w:r>
    </w:p>
    <w:p w:rsidR="000A3480" w:rsidRDefault="000A3480" w:rsidP="00050335">
      <w:pPr>
        <w:spacing w:line="60" w:lineRule="auto"/>
        <w:rPr>
          <w:rFonts w:ascii="標楷體" w:eastAsia="標楷體" w:hAnsi="標楷體"/>
          <w:sz w:val="28"/>
        </w:rPr>
        <w:sectPr w:rsidR="000A3480" w:rsidSect="000A348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D6844" w:rsidRPr="00ED6844" w:rsidRDefault="00ED6844" w:rsidP="00050335">
      <w:pPr>
        <w:spacing w:line="60" w:lineRule="auto"/>
        <w:rPr>
          <w:rFonts w:ascii="標楷體" w:eastAsia="標楷體" w:hAnsi="標楷體"/>
          <w:sz w:val="28"/>
        </w:rPr>
      </w:pPr>
      <w:r w:rsidRPr="00ED6844">
        <w:rPr>
          <w:rFonts w:ascii="標楷體" w:eastAsia="標楷體" w:hAnsi="標楷體" w:hint="eastAsia"/>
          <w:sz w:val="22"/>
        </w:rPr>
        <w:lastRenderedPageBreak/>
        <w:t>表</w:t>
      </w:r>
      <w:r w:rsidR="00EB6B01">
        <w:rPr>
          <w:rFonts w:ascii="標楷體" w:eastAsia="標楷體" w:hAnsi="標楷體" w:hint="eastAsia"/>
          <w:sz w:val="22"/>
        </w:rPr>
        <w:t>4</w:t>
      </w:r>
    </w:p>
    <w:tbl>
      <w:tblPr>
        <w:tblW w:w="12903" w:type="dxa"/>
        <w:jc w:val="center"/>
        <w:tblInd w:w="-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206"/>
        <w:gridCol w:w="1466"/>
        <w:gridCol w:w="1467"/>
        <w:gridCol w:w="1467"/>
        <w:gridCol w:w="1467"/>
        <w:gridCol w:w="2357"/>
      </w:tblGrid>
      <w:tr w:rsidR="00ED6844" w:rsidRPr="000A3480" w:rsidTr="000A3480">
        <w:trPr>
          <w:trHeight w:val="88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項目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hideMark/>
          </w:tcPr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106年</w:t>
            </w:r>
          </w:p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預估金額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106年</w:t>
            </w:r>
          </w:p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實際金額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107年</w:t>
            </w:r>
          </w:p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預估金額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107年</w:t>
            </w:r>
          </w:p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實際金額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108年</w:t>
            </w:r>
          </w:p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預估金額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108年</w:t>
            </w:r>
          </w:p>
          <w:p w:rsidR="00ED6844" w:rsidRPr="000A3480" w:rsidRDefault="00ED6844" w:rsidP="00D17F75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實際金額</w:t>
            </w:r>
          </w:p>
        </w:tc>
      </w:tr>
      <w:tr w:rsidR="00ED6844" w:rsidRPr="000A3480" w:rsidTr="000A3480">
        <w:trPr>
          <w:trHeight w:val="88"/>
          <w:jc w:val="center"/>
        </w:trPr>
        <w:tc>
          <w:tcPr>
            <w:tcW w:w="3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D6844" w:rsidRPr="000A3480" w:rsidRDefault="00ED6844" w:rsidP="000A3480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營運及補助收入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4,665,190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7,314,853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4,785,190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8,021,312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5,025,190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8,054,227</w:t>
            </w:r>
          </w:p>
        </w:tc>
      </w:tr>
      <w:tr w:rsidR="00ED6844" w:rsidRPr="000A3480" w:rsidTr="000A3480">
        <w:trPr>
          <w:trHeight w:val="849"/>
          <w:jc w:val="center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</w:t>
            </w:r>
            <w:r w:rsidR="000A3480"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位庇護性就業者薪資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912,000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928,253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912,000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1,078,498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912,000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1,133,354</w:t>
            </w:r>
          </w:p>
        </w:tc>
      </w:tr>
      <w:tr w:rsidR="00ED6844" w:rsidRPr="000A3480" w:rsidTr="000A3480">
        <w:trPr>
          <w:trHeight w:val="88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貨款支出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2,400,000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3,664,189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2,400,000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4,044,954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2,400,000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3,914,701</w:t>
            </w:r>
          </w:p>
        </w:tc>
      </w:tr>
      <w:tr w:rsidR="00ED6844" w:rsidRPr="000A3480" w:rsidTr="000A3480">
        <w:trPr>
          <w:trHeight w:val="88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行政雜費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273,160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132,824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273,160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94,766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273,160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116,406</w:t>
            </w:r>
          </w:p>
        </w:tc>
      </w:tr>
      <w:tr w:rsidR="00ED6844" w:rsidRPr="000A3480" w:rsidTr="000A3480">
        <w:trPr>
          <w:trHeight w:val="786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844" w:rsidRPr="000A3480" w:rsidRDefault="000A3480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專業人員薪資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1,188,198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1,188,198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1,188,198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1,188,198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1,188,198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1,188,198</w:t>
            </w:r>
          </w:p>
        </w:tc>
      </w:tr>
      <w:tr w:rsidR="00ED6844" w:rsidRPr="000A3480" w:rsidTr="000A3480">
        <w:trPr>
          <w:trHeight w:val="343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營業稅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180,000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163,309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180,000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116,723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180,000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125,123</w:t>
            </w:r>
          </w:p>
        </w:tc>
      </w:tr>
      <w:tr w:rsidR="00ED6844" w:rsidRPr="000A3480" w:rsidTr="000A3480">
        <w:trPr>
          <w:trHeight w:val="284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總支出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4,953,358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6,073,773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4,953,358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6,428,373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4,953,358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6,477,782</w:t>
            </w:r>
          </w:p>
        </w:tc>
      </w:tr>
      <w:tr w:rsidR="00ED6844" w:rsidRPr="000A3480" w:rsidTr="000A3480">
        <w:trPr>
          <w:trHeight w:val="284"/>
          <w:jc w:val="center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盈餘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-288,168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1,241,080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-168,168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1,592,939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71,832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844" w:rsidRPr="000A3480" w:rsidRDefault="00ED6844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1,576,445</w:t>
            </w:r>
          </w:p>
        </w:tc>
      </w:tr>
      <w:tr w:rsidR="000A3480" w:rsidRPr="000A3480" w:rsidTr="000A3480">
        <w:trPr>
          <w:trHeight w:val="2758"/>
          <w:jc w:val="center"/>
        </w:trPr>
        <w:tc>
          <w:tcPr>
            <w:tcW w:w="129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80" w:rsidRPr="000A3480" w:rsidRDefault="000A3480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◎成本管控情形</w:t>
            </w:r>
            <w:proofErr w:type="gramStart"/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─</w:t>
            </w:r>
            <w:proofErr w:type="gramEnd"/>
          </w:p>
          <w:p w:rsidR="000A3480" w:rsidRPr="000A3480" w:rsidRDefault="000A3480" w:rsidP="000A3480">
            <w:pPr>
              <w:spacing w:line="360" w:lineRule="auto"/>
              <w:ind w:left="238" w:hangingChars="108" w:hanging="238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  <w:u w:val="single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1.依據契約書預估規劃，106-</w:t>
            </w:r>
            <w:proofErr w:type="gramStart"/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108</w:t>
            </w:r>
            <w:proofErr w:type="gramEnd"/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年度的支出均大於營運及補助收入；然而實際經營顯示，</w:t>
            </w: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  <w:u w:val="single"/>
              </w:rPr>
              <w:t>其支出經由每月</w:t>
            </w:r>
            <w:proofErr w:type="gramStart"/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  <w:u w:val="single"/>
              </w:rPr>
              <w:t>密集式的財務</w:t>
            </w:r>
            <w:proofErr w:type="gramEnd"/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  <w:u w:val="single"/>
              </w:rPr>
              <w:t>管控後，能有效低於收入，使得年度盈餘從106年起累積可觀數字。</w:t>
            </w:r>
          </w:p>
          <w:p w:rsidR="000A3480" w:rsidRPr="000A3480" w:rsidRDefault="000A3480" w:rsidP="00D17F7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2.另107年起實際支出負擔比數更佳，從106年起83.03%降至108年80.42%，代表</w:t>
            </w:r>
            <w:r w:rsidRPr="000A3480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實際收支比每年逾加減少</w:t>
            </w:r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。顯示庇護工場能愈發確切的掌握成本使用，使其實際能產生盈餘</w:t>
            </w:r>
            <w:proofErr w:type="gramStart"/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數趨佳</w:t>
            </w:r>
            <w:proofErr w:type="gramEnd"/>
            <w:r w:rsidRPr="000A3480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；</w:t>
            </w:r>
          </w:p>
        </w:tc>
      </w:tr>
    </w:tbl>
    <w:p w:rsidR="000A3480" w:rsidRDefault="000A3480">
      <w:pPr>
        <w:spacing w:line="60" w:lineRule="auto"/>
        <w:rPr>
          <w:rFonts w:ascii="標楷體" w:eastAsia="標楷體" w:hAnsi="標楷體"/>
          <w:sz w:val="28"/>
        </w:rPr>
        <w:sectPr w:rsidR="000A3480" w:rsidSect="000A3480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0A3480" w:rsidRPr="00ED6844" w:rsidRDefault="00A73DBA">
      <w:pPr>
        <w:spacing w:line="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327605</wp:posOffset>
            </wp:positionV>
            <wp:extent cx="9777730" cy="29108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63177212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BA">
        <w:rPr>
          <w:rFonts w:ascii="標楷體" w:eastAsia="標楷體" w:hAnsi="標楷體" w:hint="eastAsia"/>
          <w:sz w:val="22"/>
        </w:rPr>
        <w:t>表</w:t>
      </w:r>
      <w:r w:rsidR="00EB6B01">
        <w:rPr>
          <w:rFonts w:ascii="標楷體" w:eastAsia="標楷體" w:hAnsi="標楷體" w:hint="eastAsia"/>
          <w:sz w:val="22"/>
        </w:rPr>
        <w:t>5</w:t>
      </w:r>
    </w:p>
    <w:sectPr w:rsidR="000A3480" w:rsidRPr="00ED6844" w:rsidSect="00A73D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0B" w:rsidRDefault="001C0B0B" w:rsidP="00EB6B01">
      <w:r>
        <w:separator/>
      </w:r>
    </w:p>
  </w:endnote>
  <w:endnote w:type="continuationSeparator" w:id="0">
    <w:p w:rsidR="001C0B0B" w:rsidRDefault="001C0B0B" w:rsidP="00E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0B" w:rsidRDefault="001C0B0B" w:rsidP="00EB6B01">
      <w:r>
        <w:separator/>
      </w:r>
    </w:p>
  </w:footnote>
  <w:footnote w:type="continuationSeparator" w:id="0">
    <w:p w:rsidR="001C0B0B" w:rsidRDefault="001C0B0B" w:rsidP="00EB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9F5"/>
    <w:multiLevelType w:val="hybridMultilevel"/>
    <w:tmpl w:val="46CED69E"/>
    <w:lvl w:ilvl="0" w:tplc="4B5A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3B"/>
    <w:rsid w:val="00050335"/>
    <w:rsid w:val="000A3480"/>
    <w:rsid w:val="001C0B0B"/>
    <w:rsid w:val="00356720"/>
    <w:rsid w:val="00375BC2"/>
    <w:rsid w:val="003D65AF"/>
    <w:rsid w:val="0048262C"/>
    <w:rsid w:val="005C3894"/>
    <w:rsid w:val="00661708"/>
    <w:rsid w:val="00750BAB"/>
    <w:rsid w:val="00852B10"/>
    <w:rsid w:val="009F073B"/>
    <w:rsid w:val="00A73DBA"/>
    <w:rsid w:val="00BF057E"/>
    <w:rsid w:val="00D02324"/>
    <w:rsid w:val="00D379EB"/>
    <w:rsid w:val="00DF212A"/>
    <w:rsid w:val="00EB6B01"/>
    <w:rsid w:val="00E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3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DF212A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7">
    <w:name w:val="註釋標題 字元"/>
    <w:basedOn w:val="a0"/>
    <w:link w:val="a6"/>
    <w:rsid w:val="00DF212A"/>
    <w:rPr>
      <w:rFonts w:ascii="Times New Roman" w:eastAsia="細明體" w:hAnsi="Times New Roman" w:cs="Times New Roman"/>
      <w:kern w:val="0"/>
      <w:szCs w:val="20"/>
    </w:rPr>
  </w:style>
  <w:style w:type="paragraph" w:customStyle="1" w:styleId="b2">
    <w:name w:val="b2"/>
    <w:basedOn w:val="a"/>
    <w:rsid w:val="00DF212A"/>
    <w:pPr>
      <w:adjustRightInd w:val="0"/>
      <w:spacing w:before="60" w:after="60" w:line="360" w:lineRule="atLeast"/>
      <w:ind w:left="567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B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6B0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B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6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3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DF212A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7">
    <w:name w:val="註釋標題 字元"/>
    <w:basedOn w:val="a0"/>
    <w:link w:val="a6"/>
    <w:rsid w:val="00DF212A"/>
    <w:rPr>
      <w:rFonts w:ascii="Times New Roman" w:eastAsia="細明體" w:hAnsi="Times New Roman" w:cs="Times New Roman"/>
      <w:kern w:val="0"/>
      <w:szCs w:val="20"/>
    </w:rPr>
  </w:style>
  <w:style w:type="paragraph" w:customStyle="1" w:styleId="b2">
    <w:name w:val="b2"/>
    <w:basedOn w:val="a"/>
    <w:rsid w:val="00DF212A"/>
    <w:pPr>
      <w:adjustRightInd w:val="0"/>
      <w:spacing w:before="60" w:after="60" w:line="360" w:lineRule="atLeast"/>
      <w:ind w:left="567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B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6B0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B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6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FAMILY</cp:lastModifiedBy>
  <cp:revision>6</cp:revision>
  <dcterms:created xsi:type="dcterms:W3CDTF">2020-04-08T02:33:00Z</dcterms:created>
  <dcterms:modified xsi:type="dcterms:W3CDTF">2020-04-08T07:17:00Z</dcterms:modified>
</cp:coreProperties>
</file>